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6BF6D" w14:textId="38E5CCB2" w:rsidR="008004DC" w:rsidRPr="004E22A2" w:rsidRDefault="002F486C" w:rsidP="008004DC">
      <w:r>
        <w:t xml:space="preserve">The </w:t>
      </w:r>
      <w:r w:rsidR="00E15874" w:rsidRPr="004E22A2">
        <w:t xml:space="preserve">quality </w:t>
      </w:r>
      <w:r w:rsidR="008004DC" w:rsidRPr="004E22A2">
        <w:t xml:space="preserve">clauses </w:t>
      </w:r>
      <w:r>
        <w:t xml:space="preserve">below </w:t>
      </w:r>
      <w:r w:rsidR="008004DC" w:rsidRPr="004E22A2">
        <w:t>apply to all purchase or</w:t>
      </w:r>
      <w:r>
        <w:t>ders.</w:t>
      </w:r>
    </w:p>
    <w:tbl>
      <w:tblPr>
        <w:tblW w:w="5000" w:type="pct"/>
        <w:tblBorders>
          <w:top w:val="outset" w:sz="6" w:space="0" w:color="CCCCCC"/>
          <w:left w:val="outset" w:sz="6" w:space="0" w:color="CCCCCC"/>
          <w:bottom w:val="outset" w:sz="6" w:space="0" w:color="CCCCCC"/>
          <w:right w:val="outset" w:sz="6" w:space="0" w:color="CCCCCC"/>
        </w:tblBorders>
        <w:tblCellMar>
          <w:top w:w="30" w:type="dxa"/>
          <w:left w:w="30" w:type="dxa"/>
          <w:bottom w:w="30" w:type="dxa"/>
          <w:right w:w="30" w:type="dxa"/>
        </w:tblCellMar>
        <w:tblLook w:val="04A0" w:firstRow="1" w:lastRow="0" w:firstColumn="1" w:lastColumn="0" w:noHBand="0" w:noVBand="1"/>
      </w:tblPr>
      <w:tblGrid>
        <w:gridCol w:w="1869"/>
        <w:gridCol w:w="2263"/>
        <w:gridCol w:w="5212"/>
      </w:tblGrid>
      <w:tr w:rsidR="008004DC" w:rsidRPr="004E22A2" w14:paraId="283B3AEC" w14:textId="77777777" w:rsidTr="009464A1">
        <w:tc>
          <w:tcPr>
            <w:tcW w:w="1000" w:type="pct"/>
            <w:tcBorders>
              <w:top w:val="outset" w:sz="6" w:space="0" w:color="CCCCCC"/>
              <w:left w:val="outset" w:sz="6" w:space="0" w:color="CCCCCC"/>
              <w:bottom w:val="outset" w:sz="6" w:space="0" w:color="CCCCCC"/>
              <w:right w:val="outset" w:sz="6" w:space="0" w:color="CCCCCC"/>
            </w:tcBorders>
            <w:shd w:val="clear" w:color="auto" w:fill="F5F5F5"/>
            <w:vAlign w:val="center"/>
            <w:hideMark/>
          </w:tcPr>
          <w:p w14:paraId="7E0A81E0" w14:textId="77777777" w:rsidR="008004DC" w:rsidRPr="004E22A2" w:rsidRDefault="008004DC" w:rsidP="00E954F7">
            <w:pPr>
              <w:jc w:val="center"/>
              <w:rPr>
                <w:rFonts w:ascii="Verdana" w:hAnsi="Verdana"/>
                <w:sz w:val="16"/>
                <w:szCs w:val="16"/>
              </w:rPr>
            </w:pPr>
            <w:r w:rsidRPr="004E22A2">
              <w:rPr>
                <w:rFonts w:ascii="Verdana" w:hAnsi="Verdana"/>
                <w:sz w:val="15"/>
                <w:szCs w:val="15"/>
              </w:rPr>
              <w:t>Quality Code</w:t>
            </w:r>
          </w:p>
        </w:tc>
        <w:tc>
          <w:tcPr>
            <w:tcW w:w="1211" w:type="pct"/>
            <w:tcBorders>
              <w:top w:val="outset" w:sz="6" w:space="0" w:color="CCCCCC"/>
              <w:left w:val="outset" w:sz="6" w:space="0" w:color="CCCCCC"/>
              <w:bottom w:val="outset" w:sz="6" w:space="0" w:color="CCCCCC"/>
              <w:right w:val="outset" w:sz="6" w:space="0" w:color="CCCCCC"/>
            </w:tcBorders>
            <w:shd w:val="clear" w:color="auto" w:fill="F5F5F5"/>
            <w:vAlign w:val="center"/>
            <w:hideMark/>
          </w:tcPr>
          <w:p w14:paraId="742560F0" w14:textId="77777777" w:rsidR="008004DC" w:rsidRPr="004E22A2" w:rsidRDefault="008004DC" w:rsidP="00E954F7">
            <w:pPr>
              <w:jc w:val="center"/>
              <w:rPr>
                <w:rFonts w:ascii="Verdana" w:hAnsi="Verdana"/>
                <w:sz w:val="16"/>
                <w:szCs w:val="16"/>
              </w:rPr>
            </w:pPr>
            <w:r w:rsidRPr="004E22A2">
              <w:rPr>
                <w:rFonts w:ascii="Verdana" w:hAnsi="Verdana"/>
                <w:sz w:val="15"/>
                <w:szCs w:val="15"/>
              </w:rPr>
              <w:t>Title</w:t>
            </w:r>
          </w:p>
        </w:tc>
        <w:tc>
          <w:tcPr>
            <w:tcW w:w="2789" w:type="pct"/>
            <w:tcBorders>
              <w:top w:val="outset" w:sz="6" w:space="0" w:color="CCCCCC"/>
              <w:left w:val="outset" w:sz="6" w:space="0" w:color="CCCCCC"/>
              <w:bottom w:val="outset" w:sz="6" w:space="0" w:color="CCCCCC"/>
              <w:right w:val="outset" w:sz="6" w:space="0" w:color="CCCCCC"/>
            </w:tcBorders>
            <w:shd w:val="clear" w:color="auto" w:fill="F5F5F5"/>
            <w:vAlign w:val="center"/>
            <w:hideMark/>
          </w:tcPr>
          <w:p w14:paraId="5904CD0C" w14:textId="77777777" w:rsidR="008004DC" w:rsidRPr="004E22A2" w:rsidRDefault="008004DC" w:rsidP="00E954F7">
            <w:pPr>
              <w:jc w:val="center"/>
              <w:rPr>
                <w:rFonts w:ascii="Verdana" w:hAnsi="Verdana"/>
                <w:sz w:val="16"/>
                <w:szCs w:val="16"/>
              </w:rPr>
            </w:pPr>
            <w:r w:rsidRPr="004E22A2">
              <w:rPr>
                <w:rFonts w:ascii="Verdana" w:hAnsi="Verdana"/>
                <w:sz w:val="15"/>
                <w:szCs w:val="15"/>
              </w:rPr>
              <w:t>Requirement</w:t>
            </w:r>
          </w:p>
        </w:tc>
      </w:tr>
      <w:tr w:rsidR="008004DC" w:rsidRPr="004E22A2" w14:paraId="1E7DA9DE"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hideMark/>
          </w:tcPr>
          <w:p w14:paraId="0350495A" w14:textId="77777777" w:rsidR="008004DC" w:rsidRPr="004E22A2" w:rsidRDefault="008004DC" w:rsidP="00E954F7">
            <w:pPr>
              <w:jc w:val="center"/>
              <w:rPr>
                <w:rFonts w:ascii="Verdana" w:hAnsi="Verdana"/>
                <w:sz w:val="16"/>
                <w:szCs w:val="16"/>
              </w:rPr>
            </w:pPr>
            <w:r w:rsidRPr="004E22A2">
              <w:rPr>
                <w:rFonts w:ascii="Verdana" w:hAnsi="Verdana"/>
                <w:sz w:val="16"/>
                <w:szCs w:val="16"/>
              </w:rPr>
              <w:t>QC01</w:t>
            </w:r>
          </w:p>
        </w:tc>
        <w:tc>
          <w:tcPr>
            <w:tcW w:w="1211" w:type="pct"/>
            <w:tcBorders>
              <w:top w:val="outset" w:sz="6" w:space="0" w:color="CCCCCC"/>
              <w:left w:val="outset" w:sz="6" w:space="0" w:color="CCCCCC"/>
              <w:bottom w:val="outset" w:sz="6" w:space="0" w:color="CCCCCC"/>
              <w:right w:val="outset" w:sz="6" w:space="0" w:color="CCCCCC"/>
            </w:tcBorders>
            <w:vAlign w:val="center"/>
            <w:hideMark/>
          </w:tcPr>
          <w:p w14:paraId="3A1ABE76" w14:textId="77777777" w:rsidR="008004DC" w:rsidRPr="004E22A2" w:rsidRDefault="008004DC" w:rsidP="00E954F7">
            <w:pPr>
              <w:jc w:val="center"/>
              <w:rPr>
                <w:rFonts w:ascii="Verdana" w:hAnsi="Verdana"/>
                <w:sz w:val="16"/>
                <w:szCs w:val="16"/>
              </w:rPr>
            </w:pPr>
            <w:r w:rsidRPr="004E22A2">
              <w:rPr>
                <w:rFonts w:ascii="Verdana" w:hAnsi="Verdana"/>
                <w:sz w:val="16"/>
                <w:szCs w:val="16"/>
              </w:rPr>
              <w:t>Quality System</w:t>
            </w:r>
          </w:p>
        </w:tc>
        <w:tc>
          <w:tcPr>
            <w:tcW w:w="2789" w:type="pct"/>
            <w:tcBorders>
              <w:top w:val="outset" w:sz="6" w:space="0" w:color="CCCCCC"/>
              <w:left w:val="outset" w:sz="6" w:space="0" w:color="CCCCCC"/>
              <w:bottom w:val="outset" w:sz="6" w:space="0" w:color="CCCCCC"/>
              <w:right w:val="outset" w:sz="6" w:space="0" w:color="CCCCCC"/>
            </w:tcBorders>
            <w:vAlign w:val="center"/>
            <w:hideMark/>
          </w:tcPr>
          <w:p w14:paraId="2F099AA0" w14:textId="5CF6D6F2" w:rsidR="008004DC" w:rsidRPr="004E22A2" w:rsidRDefault="00F367BB" w:rsidP="00E954F7">
            <w:pPr>
              <w:rPr>
                <w:rFonts w:ascii="Verdana" w:hAnsi="Verdana"/>
                <w:sz w:val="16"/>
                <w:szCs w:val="16"/>
              </w:rPr>
            </w:pPr>
            <w:r w:rsidRPr="004E22A2">
              <w:rPr>
                <w:rFonts w:ascii="Verdana" w:hAnsi="Verdana" w:cs="Arial"/>
                <w:sz w:val="15"/>
                <w:szCs w:val="15"/>
              </w:rPr>
              <w:t xml:space="preserve">Supplier shall establish and maintain a Quality System acceptable to </w:t>
            </w:r>
            <w:r w:rsidR="004E22A2" w:rsidRPr="004E22A2">
              <w:rPr>
                <w:rFonts w:ascii="Verdana" w:hAnsi="Verdana" w:cs="Arial"/>
                <w:sz w:val="15"/>
                <w:szCs w:val="15"/>
              </w:rPr>
              <w:t>Practical Components and Practical Tools</w:t>
            </w:r>
            <w:r w:rsidRPr="004E22A2">
              <w:rPr>
                <w:rFonts w:ascii="Verdana" w:hAnsi="Verdana" w:cs="Arial"/>
                <w:sz w:val="15"/>
                <w:szCs w:val="15"/>
              </w:rPr>
              <w:t xml:space="preserve">, for the goods and/or services purchased under this purchase order. As a minimum, the supplier's Quality System must meet the requirements of </w:t>
            </w:r>
            <w:r w:rsidR="0022042E" w:rsidRPr="004E22A2">
              <w:rPr>
                <w:rFonts w:ascii="Verdana" w:hAnsi="Verdana" w:cs="Arial"/>
                <w:sz w:val="15"/>
                <w:szCs w:val="15"/>
              </w:rPr>
              <w:t>ISO9001</w:t>
            </w:r>
            <w:r w:rsidRPr="004E22A2">
              <w:rPr>
                <w:rFonts w:ascii="Verdana" w:hAnsi="Verdana" w:cs="Arial"/>
                <w:sz w:val="15"/>
                <w:szCs w:val="15"/>
              </w:rPr>
              <w:t xml:space="preserve"> or</w:t>
            </w:r>
            <w:r w:rsidR="00650E34" w:rsidRPr="004E22A2">
              <w:rPr>
                <w:rFonts w:ascii="Verdana" w:hAnsi="Verdana" w:cs="Arial"/>
                <w:sz w:val="15"/>
                <w:szCs w:val="15"/>
              </w:rPr>
              <w:t xml:space="preserve"> better or Quality System approved by </w:t>
            </w:r>
            <w:r w:rsidR="004E22A2" w:rsidRPr="004E22A2">
              <w:rPr>
                <w:rFonts w:ascii="Verdana" w:hAnsi="Verdana" w:cs="Arial"/>
                <w:sz w:val="15"/>
                <w:szCs w:val="15"/>
              </w:rPr>
              <w:t>Practical Components and Practical Tools</w:t>
            </w:r>
            <w:r w:rsidR="00650E34" w:rsidRPr="004E22A2">
              <w:rPr>
                <w:rFonts w:ascii="Verdana" w:hAnsi="Verdana" w:cs="Arial"/>
                <w:sz w:val="15"/>
                <w:szCs w:val="15"/>
              </w:rPr>
              <w:t>.</w:t>
            </w:r>
          </w:p>
        </w:tc>
      </w:tr>
      <w:tr w:rsidR="008004DC" w:rsidRPr="004E22A2" w14:paraId="45F70E94"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2C439CC2" w14:textId="50941A19" w:rsidR="008004DC" w:rsidRPr="004E22A2" w:rsidRDefault="008004DC" w:rsidP="00E954F7">
            <w:pPr>
              <w:jc w:val="center"/>
              <w:rPr>
                <w:rFonts w:ascii="Verdana" w:hAnsi="Verdana"/>
                <w:sz w:val="16"/>
                <w:szCs w:val="16"/>
              </w:rPr>
            </w:pPr>
            <w:r w:rsidRPr="004E22A2">
              <w:rPr>
                <w:rFonts w:ascii="Verdana" w:hAnsi="Verdana"/>
                <w:sz w:val="16"/>
                <w:szCs w:val="16"/>
              </w:rPr>
              <w:t>QC0</w:t>
            </w:r>
            <w:r w:rsidR="00C560CA">
              <w:rPr>
                <w:rFonts w:ascii="Verdana" w:hAnsi="Verdana"/>
                <w:sz w:val="16"/>
                <w:szCs w:val="16"/>
              </w:rPr>
              <w:t>2</w:t>
            </w:r>
          </w:p>
        </w:tc>
        <w:tc>
          <w:tcPr>
            <w:tcW w:w="1211" w:type="pct"/>
            <w:tcBorders>
              <w:top w:val="outset" w:sz="6" w:space="0" w:color="CCCCCC"/>
              <w:left w:val="outset" w:sz="6" w:space="0" w:color="CCCCCC"/>
              <w:bottom w:val="outset" w:sz="6" w:space="0" w:color="CCCCCC"/>
              <w:right w:val="outset" w:sz="6" w:space="0" w:color="CCCCCC"/>
            </w:tcBorders>
            <w:vAlign w:val="center"/>
          </w:tcPr>
          <w:p w14:paraId="38E19372" w14:textId="77777777" w:rsidR="008004DC" w:rsidRPr="004E22A2" w:rsidRDefault="008004DC" w:rsidP="00E954F7">
            <w:pPr>
              <w:jc w:val="center"/>
              <w:rPr>
                <w:rFonts w:ascii="Verdana" w:hAnsi="Verdana"/>
                <w:sz w:val="16"/>
                <w:szCs w:val="16"/>
              </w:rPr>
            </w:pPr>
            <w:r w:rsidRPr="004E22A2">
              <w:rPr>
                <w:rFonts w:ascii="Verdana" w:hAnsi="Verdana"/>
                <w:sz w:val="16"/>
                <w:szCs w:val="16"/>
              </w:rPr>
              <w:t>Record Retention and Disposition</w:t>
            </w:r>
          </w:p>
        </w:tc>
        <w:tc>
          <w:tcPr>
            <w:tcW w:w="2789" w:type="pct"/>
            <w:tcBorders>
              <w:top w:val="outset" w:sz="6" w:space="0" w:color="CCCCCC"/>
              <w:left w:val="outset" w:sz="6" w:space="0" w:color="CCCCCC"/>
              <w:bottom w:val="outset" w:sz="6" w:space="0" w:color="CCCCCC"/>
              <w:right w:val="outset" w:sz="6" w:space="0" w:color="CCCCCC"/>
            </w:tcBorders>
            <w:vAlign w:val="center"/>
          </w:tcPr>
          <w:p w14:paraId="40E25581" w14:textId="2CB53E46" w:rsidR="008004DC" w:rsidRPr="004E22A2" w:rsidRDefault="008004DC" w:rsidP="00E954F7">
            <w:pPr>
              <w:rPr>
                <w:rFonts w:ascii="Verdana" w:hAnsi="Verdana"/>
                <w:sz w:val="16"/>
                <w:szCs w:val="16"/>
              </w:rPr>
            </w:pPr>
            <w:r w:rsidRPr="004E22A2">
              <w:rPr>
                <w:rFonts w:ascii="Verdana" w:hAnsi="Verdana" w:cs="Arial"/>
                <w:sz w:val="15"/>
                <w:szCs w:val="15"/>
              </w:rPr>
              <w:t xml:space="preserve">As a minimum, the Supplier is to retain documented information for at least </w:t>
            </w:r>
            <w:r w:rsidR="00C560CA">
              <w:rPr>
                <w:rFonts w:ascii="Verdana" w:hAnsi="Verdana" w:cs="Arial"/>
                <w:sz w:val="15"/>
                <w:szCs w:val="15"/>
              </w:rPr>
              <w:t>5</w:t>
            </w:r>
            <w:r w:rsidRPr="004E22A2">
              <w:rPr>
                <w:rFonts w:ascii="Verdana" w:hAnsi="Verdana" w:cs="Arial"/>
                <w:sz w:val="15"/>
                <w:szCs w:val="15"/>
              </w:rPr>
              <w:t xml:space="preserve"> years from the date of shipment under each applicable order for all products/part numbers unless otherwise specified in the order.  In special circumstances, the purchase order will identify the actual required number of years that the documented information should be maintained. After the minimum retention period is achieved, suppliers may disposition the documented information as archive or destroy at their discretion.</w:t>
            </w:r>
          </w:p>
        </w:tc>
      </w:tr>
      <w:tr w:rsidR="008004DC" w:rsidRPr="004E22A2" w14:paraId="736CEE30"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31F72001" w14:textId="6692A4CE" w:rsidR="008004DC" w:rsidRPr="004E22A2" w:rsidRDefault="008004DC" w:rsidP="00E954F7">
            <w:pPr>
              <w:jc w:val="center"/>
              <w:rPr>
                <w:rFonts w:ascii="Verdana" w:hAnsi="Verdana"/>
                <w:sz w:val="16"/>
                <w:szCs w:val="16"/>
              </w:rPr>
            </w:pPr>
            <w:r w:rsidRPr="004E22A2">
              <w:rPr>
                <w:rFonts w:ascii="Verdana" w:hAnsi="Verdana"/>
                <w:sz w:val="16"/>
                <w:szCs w:val="16"/>
              </w:rPr>
              <w:t>QC0</w:t>
            </w:r>
            <w:r w:rsidR="00C560CA">
              <w:rPr>
                <w:rFonts w:ascii="Verdana" w:hAnsi="Verdana"/>
                <w:sz w:val="16"/>
                <w:szCs w:val="16"/>
              </w:rPr>
              <w:t>3</w:t>
            </w:r>
          </w:p>
        </w:tc>
        <w:tc>
          <w:tcPr>
            <w:tcW w:w="1211" w:type="pct"/>
            <w:tcBorders>
              <w:top w:val="outset" w:sz="6" w:space="0" w:color="CCCCCC"/>
              <w:left w:val="outset" w:sz="6" w:space="0" w:color="CCCCCC"/>
              <w:bottom w:val="outset" w:sz="6" w:space="0" w:color="CCCCCC"/>
              <w:right w:val="outset" w:sz="6" w:space="0" w:color="CCCCCC"/>
            </w:tcBorders>
            <w:vAlign w:val="center"/>
          </w:tcPr>
          <w:p w14:paraId="709390D7" w14:textId="77777777" w:rsidR="008004DC" w:rsidRPr="004E22A2" w:rsidRDefault="008004DC" w:rsidP="00E954F7">
            <w:pPr>
              <w:jc w:val="center"/>
              <w:rPr>
                <w:rFonts w:ascii="Verdana" w:hAnsi="Verdana"/>
                <w:sz w:val="16"/>
                <w:szCs w:val="16"/>
              </w:rPr>
            </w:pPr>
            <w:r w:rsidRPr="004E22A2">
              <w:rPr>
                <w:rFonts w:ascii="Verdana" w:hAnsi="Verdana"/>
                <w:sz w:val="16"/>
                <w:szCs w:val="16"/>
              </w:rPr>
              <w:t>Packaging Protection</w:t>
            </w:r>
          </w:p>
        </w:tc>
        <w:tc>
          <w:tcPr>
            <w:tcW w:w="2789" w:type="pct"/>
            <w:tcBorders>
              <w:top w:val="outset" w:sz="6" w:space="0" w:color="CCCCCC"/>
              <w:left w:val="outset" w:sz="6" w:space="0" w:color="CCCCCC"/>
              <w:bottom w:val="outset" w:sz="6" w:space="0" w:color="CCCCCC"/>
              <w:right w:val="outset" w:sz="6" w:space="0" w:color="CCCCCC"/>
            </w:tcBorders>
            <w:vAlign w:val="center"/>
          </w:tcPr>
          <w:p w14:paraId="68287712" w14:textId="77777777" w:rsidR="008004DC" w:rsidRPr="004E22A2" w:rsidRDefault="008004DC" w:rsidP="00E954F7">
            <w:pPr>
              <w:rPr>
                <w:rFonts w:ascii="Verdana" w:hAnsi="Verdana"/>
                <w:sz w:val="16"/>
                <w:szCs w:val="16"/>
              </w:rPr>
            </w:pPr>
            <w:r w:rsidRPr="004E22A2">
              <w:rPr>
                <w:rFonts w:ascii="Verdana" w:hAnsi="Verdana" w:cs="Arial"/>
                <w:sz w:val="15"/>
                <w:szCs w:val="15"/>
              </w:rPr>
              <w:t>Supplier to package parts in a manner that will protect parts from any kind of damage. No metal to metal contact is ever allowed. In special circumstances, the purchase order may specify the manner the parts are to be packaged.</w:t>
            </w:r>
          </w:p>
        </w:tc>
      </w:tr>
      <w:tr w:rsidR="008004DC" w:rsidRPr="004E22A2" w14:paraId="12963B9C"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3F552758" w14:textId="2024D3CC" w:rsidR="008004DC" w:rsidRPr="004E22A2" w:rsidRDefault="008004DC" w:rsidP="00E954F7">
            <w:pPr>
              <w:jc w:val="center"/>
              <w:rPr>
                <w:rFonts w:ascii="Verdana" w:hAnsi="Verdana"/>
                <w:sz w:val="16"/>
                <w:szCs w:val="16"/>
              </w:rPr>
            </w:pPr>
            <w:r w:rsidRPr="004E22A2">
              <w:rPr>
                <w:rFonts w:ascii="Verdana" w:hAnsi="Verdana"/>
                <w:sz w:val="16"/>
                <w:szCs w:val="16"/>
              </w:rPr>
              <w:t>QC0</w:t>
            </w:r>
            <w:r w:rsidR="00C560CA">
              <w:rPr>
                <w:rFonts w:ascii="Verdana" w:hAnsi="Verdana"/>
                <w:sz w:val="16"/>
                <w:szCs w:val="16"/>
              </w:rPr>
              <w:t>4</w:t>
            </w:r>
          </w:p>
        </w:tc>
        <w:tc>
          <w:tcPr>
            <w:tcW w:w="1211" w:type="pct"/>
            <w:tcBorders>
              <w:top w:val="outset" w:sz="6" w:space="0" w:color="CCCCCC"/>
              <w:left w:val="outset" w:sz="6" w:space="0" w:color="CCCCCC"/>
              <w:bottom w:val="outset" w:sz="6" w:space="0" w:color="CCCCCC"/>
              <w:right w:val="outset" w:sz="6" w:space="0" w:color="CCCCCC"/>
            </w:tcBorders>
            <w:vAlign w:val="center"/>
          </w:tcPr>
          <w:p w14:paraId="40D320BA" w14:textId="77777777" w:rsidR="008004DC" w:rsidRPr="004E22A2" w:rsidRDefault="008004DC" w:rsidP="00E954F7">
            <w:pPr>
              <w:jc w:val="center"/>
              <w:rPr>
                <w:rFonts w:ascii="Verdana" w:hAnsi="Verdana"/>
                <w:sz w:val="16"/>
                <w:szCs w:val="16"/>
              </w:rPr>
            </w:pPr>
            <w:r w:rsidRPr="004E22A2">
              <w:rPr>
                <w:rFonts w:ascii="Verdana" w:hAnsi="Verdana"/>
                <w:sz w:val="16"/>
                <w:szCs w:val="16"/>
              </w:rPr>
              <w:t>QMS Awareness</w:t>
            </w:r>
          </w:p>
        </w:tc>
        <w:tc>
          <w:tcPr>
            <w:tcW w:w="2789" w:type="pct"/>
            <w:tcBorders>
              <w:top w:val="outset" w:sz="6" w:space="0" w:color="CCCCCC"/>
              <w:left w:val="outset" w:sz="6" w:space="0" w:color="CCCCCC"/>
              <w:bottom w:val="outset" w:sz="6" w:space="0" w:color="CCCCCC"/>
              <w:right w:val="outset" w:sz="6" w:space="0" w:color="CCCCCC"/>
            </w:tcBorders>
            <w:vAlign w:val="center"/>
          </w:tcPr>
          <w:p w14:paraId="7E9B5D87" w14:textId="77777777" w:rsidR="008004DC" w:rsidRPr="004E22A2" w:rsidRDefault="008004DC" w:rsidP="00E954F7">
            <w:pPr>
              <w:rPr>
                <w:rFonts w:ascii="Verdana" w:hAnsi="Verdana" w:cs="Arial"/>
                <w:sz w:val="15"/>
                <w:szCs w:val="15"/>
              </w:rPr>
            </w:pPr>
            <w:r w:rsidRPr="004E22A2">
              <w:rPr>
                <w:rFonts w:ascii="Verdana" w:hAnsi="Verdana" w:cs="Arial"/>
                <w:sz w:val="15"/>
                <w:szCs w:val="15"/>
              </w:rPr>
              <w:t>Suppliers Personnel must be made aware of:</w:t>
            </w:r>
          </w:p>
          <w:p w14:paraId="295FFBB5" w14:textId="77777777" w:rsidR="008004DC" w:rsidRPr="004E22A2" w:rsidRDefault="008004DC" w:rsidP="00E954F7">
            <w:pPr>
              <w:ind w:left="414" w:hanging="360"/>
              <w:rPr>
                <w:rFonts w:ascii="Verdana" w:hAnsi="Verdana" w:cs="Arial"/>
                <w:sz w:val="15"/>
                <w:szCs w:val="15"/>
              </w:rPr>
            </w:pPr>
            <w:r w:rsidRPr="004E22A2">
              <w:rPr>
                <w:rFonts w:ascii="Verdana" w:hAnsi="Verdana" w:cs="Arial"/>
                <w:sz w:val="15"/>
                <w:szCs w:val="15"/>
              </w:rPr>
              <w:t>•</w:t>
            </w:r>
            <w:r w:rsidRPr="004E22A2">
              <w:rPr>
                <w:rFonts w:ascii="Verdana" w:hAnsi="Verdana" w:cs="Arial"/>
                <w:sz w:val="15"/>
                <w:szCs w:val="15"/>
              </w:rPr>
              <w:tab/>
              <w:t>their contribution to product or service conformity;</w:t>
            </w:r>
          </w:p>
          <w:p w14:paraId="62480560" w14:textId="77777777" w:rsidR="008004DC" w:rsidRPr="004E22A2" w:rsidRDefault="008004DC" w:rsidP="00E954F7">
            <w:pPr>
              <w:ind w:left="414" w:hanging="360"/>
              <w:rPr>
                <w:rFonts w:ascii="Verdana" w:hAnsi="Verdana" w:cs="Arial"/>
                <w:sz w:val="15"/>
                <w:szCs w:val="15"/>
              </w:rPr>
            </w:pPr>
            <w:r w:rsidRPr="004E22A2">
              <w:rPr>
                <w:rFonts w:ascii="Verdana" w:hAnsi="Verdana" w:cs="Arial"/>
                <w:sz w:val="15"/>
                <w:szCs w:val="15"/>
              </w:rPr>
              <w:t>•</w:t>
            </w:r>
            <w:r w:rsidRPr="004E22A2">
              <w:rPr>
                <w:rFonts w:ascii="Verdana" w:hAnsi="Verdana" w:cs="Arial"/>
                <w:sz w:val="15"/>
                <w:szCs w:val="15"/>
              </w:rPr>
              <w:tab/>
              <w:t>their contribution to product safety;</w:t>
            </w:r>
          </w:p>
          <w:p w14:paraId="00031DAE" w14:textId="77777777" w:rsidR="008004DC" w:rsidRPr="004E22A2" w:rsidRDefault="008004DC" w:rsidP="00E954F7">
            <w:pPr>
              <w:ind w:left="414" w:hanging="360"/>
              <w:rPr>
                <w:rFonts w:ascii="Verdana" w:hAnsi="Verdana" w:cs="Arial"/>
                <w:sz w:val="15"/>
                <w:szCs w:val="15"/>
              </w:rPr>
            </w:pPr>
            <w:r w:rsidRPr="004E22A2">
              <w:rPr>
                <w:rFonts w:ascii="Verdana" w:hAnsi="Verdana" w:cs="Arial"/>
                <w:sz w:val="15"/>
                <w:szCs w:val="15"/>
              </w:rPr>
              <w:t>•</w:t>
            </w:r>
            <w:r w:rsidRPr="004E22A2">
              <w:rPr>
                <w:rFonts w:ascii="Verdana" w:hAnsi="Verdana" w:cs="Arial"/>
                <w:sz w:val="15"/>
                <w:szCs w:val="15"/>
              </w:rPr>
              <w:tab/>
              <w:t>the importance of ethical behavior.</w:t>
            </w:r>
          </w:p>
        </w:tc>
      </w:tr>
      <w:tr w:rsidR="008004DC" w:rsidRPr="004E22A2" w14:paraId="1E79075D"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28798746" w14:textId="421A2D86" w:rsidR="008004DC" w:rsidRPr="004E22A2" w:rsidRDefault="008004DC" w:rsidP="00E954F7">
            <w:pPr>
              <w:jc w:val="center"/>
              <w:rPr>
                <w:rFonts w:ascii="Verdana" w:hAnsi="Verdana"/>
                <w:sz w:val="16"/>
                <w:szCs w:val="16"/>
              </w:rPr>
            </w:pPr>
            <w:r w:rsidRPr="004E22A2">
              <w:rPr>
                <w:rFonts w:ascii="Verdana" w:hAnsi="Verdana"/>
                <w:sz w:val="16"/>
                <w:szCs w:val="16"/>
              </w:rPr>
              <w:t>QC0</w:t>
            </w:r>
            <w:r w:rsidR="00C560CA">
              <w:rPr>
                <w:rFonts w:ascii="Verdana" w:hAnsi="Verdana"/>
                <w:sz w:val="16"/>
                <w:szCs w:val="16"/>
              </w:rPr>
              <w:t>5</w:t>
            </w:r>
          </w:p>
        </w:tc>
        <w:tc>
          <w:tcPr>
            <w:tcW w:w="1211" w:type="pct"/>
            <w:tcBorders>
              <w:top w:val="outset" w:sz="6" w:space="0" w:color="CCCCCC"/>
              <w:left w:val="outset" w:sz="6" w:space="0" w:color="CCCCCC"/>
              <w:bottom w:val="outset" w:sz="6" w:space="0" w:color="CCCCCC"/>
              <w:right w:val="outset" w:sz="6" w:space="0" w:color="CCCCCC"/>
            </w:tcBorders>
            <w:vAlign w:val="center"/>
          </w:tcPr>
          <w:p w14:paraId="59474130" w14:textId="77777777" w:rsidR="008004DC" w:rsidRPr="004E22A2" w:rsidRDefault="008004DC" w:rsidP="00E954F7">
            <w:pPr>
              <w:jc w:val="center"/>
              <w:rPr>
                <w:rFonts w:ascii="Verdana" w:hAnsi="Verdana" w:cs="Arial"/>
                <w:sz w:val="15"/>
                <w:szCs w:val="15"/>
              </w:rPr>
            </w:pPr>
            <w:r w:rsidRPr="004E22A2">
              <w:rPr>
                <w:rFonts w:ascii="Verdana" w:hAnsi="Verdana" w:cs="Arial"/>
                <w:sz w:val="15"/>
                <w:szCs w:val="15"/>
              </w:rPr>
              <w:t>Control &amp; Monitoring Requirements</w:t>
            </w:r>
          </w:p>
        </w:tc>
        <w:tc>
          <w:tcPr>
            <w:tcW w:w="2789" w:type="pct"/>
            <w:tcBorders>
              <w:top w:val="outset" w:sz="6" w:space="0" w:color="CCCCCC"/>
              <w:left w:val="outset" w:sz="6" w:space="0" w:color="CCCCCC"/>
              <w:bottom w:val="outset" w:sz="6" w:space="0" w:color="CCCCCC"/>
              <w:right w:val="outset" w:sz="6" w:space="0" w:color="CCCCCC"/>
            </w:tcBorders>
            <w:vAlign w:val="center"/>
          </w:tcPr>
          <w:p w14:paraId="1D9CABD7" w14:textId="6586D325" w:rsidR="008004DC" w:rsidRPr="004E22A2" w:rsidRDefault="008004DC" w:rsidP="00E954F7">
            <w:pPr>
              <w:rPr>
                <w:rFonts w:ascii="Verdana" w:hAnsi="Verdana" w:cs="Arial"/>
                <w:sz w:val="15"/>
                <w:szCs w:val="15"/>
              </w:rPr>
            </w:pPr>
            <w:r w:rsidRPr="004E22A2">
              <w:rPr>
                <w:rFonts w:ascii="Verdana" w:hAnsi="Verdana" w:cs="Arial"/>
                <w:sz w:val="15"/>
                <w:szCs w:val="15"/>
              </w:rPr>
              <w:t>Suppliers must maintain a Quality Level ≥9</w:t>
            </w:r>
            <w:r w:rsidR="00561BB8" w:rsidRPr="004E22A2">
              <w:rPr>
                <w:rFonts w:ascii="Verdana" w:hAnsi="Verdana" w:cs="Arial"/>
                <w:sz w:val="15"/>
                <w:szCs w:val="15"/>
              </w:rPr>
              <w:t>5</w:t>
            </w:r>
            <w:r w:rsidRPr="004E22A2">
              <w:rPr>
                <w:rFonts w:ascii="Verdana" w:hAnsi="Verdana" w:cs="Arial"/>
                <w:sz w:val="15"/>
                <w:szCs w:val="15"/>
              </w:rPr>
              <w:t>% and an OTD level ≥9</w:t>
            </w:r>
            <w:r w:rsidR="00561BB8" w:rsidRPr="004E22A2">
              <w:rPr>
                <w:rFonts w:ascii="Verdana" w:hAnsi="Verdana" w:cs="Arial"/>
                <w:sz w:val="15"/>
                <w:szCs w:val="15"/>
              </w:rPr>
              <w:t>5</w:t>
            </w:r>
            <w:r w:rsidRPr="004E22A2">
              <w:rPr>
                <w:rFonts w:ascii="Verdana" w:hAnsi="Verdana" w:cs="Arial"/>
                <w:sz w:val="15"/>
                <w:szCs w:val="15"/>
              </w:rPr>
              <w:t>%. If levels drop below target, supplier will be notified and may be placed on conditional status or disapproved if not corrected.</w:t>
            </w:r>
          </w:p>
        </w:tc>
      </w:tr>
      <w:tr w:rsidR="008004DC" w:rsidRPr="004E22A2" w14:paraId="0E513C0C"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78BC9EFC" w14:textId="2562944D" w:rsidR="008004DC" w:rsidRPr="004E22A2" w:rsidRDefault="008004DC" w:rsidP="00E954F7">
            <w:pPr>
              <w:jc w:val="center"/>
              <w:rPr>
                <w:rFonts w:ascii="Verdana" w:hAnsi="Verdana"/>
                <w:sz w:val="16"/>
                <w:szCs w:val="16"/>
              </w:rPr>
            </w:pPr>
            <w:r w:rsidRPr="004E22A2">
              <w:rPr>
                <w:rFonts w:ascii="Verdana" w:hAnsi="Verdana"/>
                <w:sz w:val="16"/>
                <w:szCs w:val="16"/>
              </w:rPr>
              <w:t>QC</w:t>
            </w:r>
            <w:r w:rsidR="00E15874" w:rsidRPr="004E22A2">
              <w:rPr>
                <w:rFonts w:ascii="Verdana" w:hAnsi="Verdana"/>
                <w:sz w:val="16"/>
                <w:szCs w:val="16"/>
              </w:rPr>
              <w:t>0</w:t>
            </w:r>
            <w:r w:rsidR="00C560CA">
              <w:rPr>
                <w:rFonts w:ascii="Verdana" w:hAnsi="Verdana"/>
                <w:sz w:val="16"/>
                <w:szCs w:val="16"/>
              </w:rPr>
              <w:t>6</w:t>
            </w:r>
          </w:p>
        </w:tc>
        <w:tc>
          <w:tcPr>
            <w:tcW w:w="1211" w:type="pct"/>
            <w:tcBorders>
              <w:top w:val="outset" w:sz="6" w:space="0" w:color="CCCCCC"/>
              <w:left w:val="outset" w:sz="6" w:space="0" w:color="CCCCCC"/>
              <w:bottom w:val="outset" w:sz="6" w:space="0" w:color="CCCCCC"/>
              <w:right w:val="outset" w:sz="6" w:space="0" w:color="CCCCCC"/>
            </w:tcBorders>
            <w:vAlign w:val="center"/>
          </w:tcPr>
          <w:p w14:paraId="772C1DAF" w14:textId="77777777" w:rsidR="008004DC" w:rsidRPr="004E22A2" w:rsidRDefault="008004DC" w:rsidP="00E954F7">
            <w:pPr>
              <w:jc w:val="center"/>
              <w:rPr>
                <w:rFonts w:ascii="Verdana" w:hAnsi="Verdana" w:cs="Arial"/>
                <w:sz w:val="15"/>
                <w:szCs w:val="15"/>
              </w:rPr>
            </w:pPr>
            <w:r w:rsidRPr="004E22A2">
              <w:rPr>
                <w:rFonts w:ascii="Verdana" w:hAnsi="Verdana" w:cs="Arial"/>
                <w:sz w:val="15"/>
                <w:szCs w:val="15"/>
              </w:rPr>
              <w:t>Nonconformance/Corrective Action</w:t>
            </w:r>
          </w:p>
        </w:tc>
        <w:tc>
          <w:tcPr>
            <w:tcW w:w="2789" w:type="pct"/>
            <w:tcBorders>
              <w:top w:val="outset" w:sz="6" w:space="0" w:color="CCCCCC"/>
              <w:left w:val="outset" w:sz="6" w:space="0" w:color="CCCCCC"/>
              <w:bottom w:val="outset" w:sz="6" w:space="0" w:color="CCCCCC"/>
              <w:right w:val="outset" w:sz="6" w:space="0" w:color="CCCCCC"/>
            </w:tcBorders>
            <w:vAlign w:val="center"/>
          </w:tcPr>
          <w:p w14:paraId="727BB164" w14:textId="712353AE" w:rsidR="008004DC" w:rsidRPr="004E22A2" w:rsidRDefault="008004DC" w:rsidP="00E954F7">
            <w:pPr>
              <w:rPr>
                <w:rFonts w:ascii="Verdana" w:hAnsi="Verdana" w:cs="Arial"/>
                <w:sz w:val="15"/>
                <w:szCs w:val="15"/>
              </w:rPr>
            </w:pPr>
            <w:r w:rsidRPr="004E22A2">
              <w:rPr>
                <w:rFonts w:ascii="Verdana" w:hAnsi="Verdana" w:cs="Arial"/>
                <w:sz w:val="15"/>
                <w:szCs w:val="15"/>
              </w:rPr>
              <w:t xml:space="preserve">The Supplier is to notify </w:t>
            </w:r>
            <w:r w:rsidR="004E22A2" w:rsidRPr="004E22A2">
              <w:rPr>
                <w:rFonts w:ascii="Verdana" w:hAnsi="Verdana" w:cs="Arial"/>
                <w:sz w:val="15"/>
                <w:szCs w:val="15"/>
              </w:rPr>
              <w:t>Practical Components and Practical Tools</w:t>
            </w:r>
            <w:r w:rsidRPr="004E22A2">
              <w:rPr>
                <w:rFonts w:ascii="Verdana" w:hAnsi="Verdana" w:cs="Arial"/>
                <w:sz w:val="15"/>
                <w:szCs w:val="15"/>
              </w:rPr>
              <w:t xml:space="preserve"> of a Nonconformance prior to shipping parts. In addition, the Supplier will maintain a system of handling non-conformances and corrective actions.</w:t>
            </w:r>
          </w:p>
        </w:tc>
      </w:tr>
      <w:tr w:rsidR="008004DC" w:rsidRPr="004E22A2" w14:paraId="71C6B41E"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5D794F6E" w14:textId="77777777" w:rsidR="008004DC" w:rsidRPr="004E22A2" w:rsidRDefault="008004DC" w:rsidP="00E954F7">
            <w:pPr>
              <w:jc w:val="center"/>
              <w:rPr>
                <w:rFonts w:ascii="Verdana" w:hAnsi="Verdana"/>
                <w:sz w:val="16"/>
                <w:szCs w:val="16"/>
              </w:rPr>
            </w:pPr>
          </w:p>
          <w:p w14:paraId="11E91C36" w14:textId="1DCC061A" w:rsidR="008004DC" w:rsidRPr="004E22A2" w:rsidRDefault="008004DC" w:rsidP="00E954F7">
            <w:pPr>
              <w:jc w:val="center"/>
              <w:rPr>
                <w:rFonts w:ascii="Verdana" w:hAnsi="Verdana"/>
                <w:sz w:val="16"/>
                <w:szCs w:val="16"/>
              </w:rPr>
            </w:pPr>
            <w:r w:rsidRPr="004E22A2">
              <w:rPr>
                <w:rFonts w:ascii="Verdana" w:hAnsi="Verdana"/>
                <w:sz w:val="16"/>
                <w:szCs w:val="16"/>
              </w:rPr>
              <w:t>QC</w:t>
            </w:r>
            <w:r w:rsidR="002F486C">
              <w:rPr>
                <w:rFonts w:ascii="Verdana" w:hAnsi="Verdana"/>
                <w:sz w:val="16"/>
                <w:szCs w:val="16"/>
              </w:rPr>
              <w:t>0</w:t>
            </w:r>
            <w:r w:rsidR="00C560CA">
              <w:rPr>
                <w:rFonts w:ascii="Verdana" w:hAnsi="Verdana"/>
                <w:sz w:val="16"/>
                <w:szCs w:val="16"/>
              </w:rPr>
              <w:t>7</w:t>
            </w:r>
          </w:p>
        </w:tc>
        <w:tc>
          <w:tcPr>
            <w:tcW w:w="1211" w:type="pct"/>
            <w:tcBorders>
              <w:top w:val="outset" w:sz="6" w:space="0" w:color="CCCCCC"/>
              <w:left w:val="outset" w:sz="6" w:space="0" w:color="CCCCCC"/>
              <w:bottom w:val="outset" w:sz="6" w:space="0" w:color="CCCCCC"/>
              <w:right w:val="outset" w:sz="6" w:space="0" w:color="CCCCCC"/>
            </w:tcBorders>
            <w:vAlign w:val="center"/>
          </w:tcPr>
          <w:p w14:paraId="36EBF0A6" w14:textId="77777777" w:rsidR="008004DC" w:rsidRPr="004E22A2" w:rsidRDefault="008004DC" w:rsidP="00E954F7">
            <w:pPr>
              <w:jc w:val="center"/>
              <w:rPr>
                <w:rFonts w:ascii="Verdana" w:hAnsi="Verdana"/>
                <w:sz w:val="16"/>
                <w:szCs w:val="16"/>
              </w:rPr>
            </w:pPr>
            <w:r w:rsidRPr="004E22A2">
              <w:rPr>
                <w:rFonts w:ascii="Verdana" w:hAnsi="Verdana"/>
                <w:sz w:val="16"/>
                <w:szCs w:val="16"/>
              </w:rPr>
              <w:t>Calibration</w:t>
            </w:r>
          </w:p>
        </w:tc>
        <w:tc>
          <w:tcPr>
            <w:tcW w:w="2789" w:type="pct"/>
            <w:tcBorders>
              <w:top w:val="outset" w:sz="6" w:space="0" w:color="CCCCCC"/>
              <w:left w:val="outset" w:sz="6" w:space="0" w:color="CCCCCC"/>
              <w:bottom w:val="outset" w:sz="6" w:space="0" w:color="CCCCCC"/>
              <w:right w:val="outset" w:sz="6" w:space="0" w:color="CCCCCC"/>
            </w:tcBorders>
            <w:vAlign w:val="center"/>
          </w:tcPr>
          <w:p w14:paraId="147BF084" w14:textId="77777777" w:rsidR="008004DC" w:rsidRPr="004E22A2" w:rsidRDefault="008004DC" w:rsidP="00E954F7">
            <w:pPr>
              <w:rPr>
                <w:rFonts w:ascii="Verdana" w:hAnsi="Verdana"/>
                <w:sz w:val="16"/>
                <w:szCs w:val="16"/>
              </w:rPr>
            </w:pPr>
            <w:r w:rsidRPr="004E22A2">
              <w:rPr>
                <w:rFonts w:ascii="Verdana" w:hAnsi="Verdana" w:cs="Arial"/>
                <w:sz w:val="15"/>
                <w:szCs w:val="15"/>
              </w:rPr>
              <w:t>The Supplier's equipment shall be calibrated in accordance NIST standard (ISO 17025/ISO 10012-1/ANSI Z540-1) traceable to national or international measurement standards.</w:t>
            </w:r>
          </w:p>
        </w:tc>
      </w:tr>
      <w:tr w:rsidR="008004DC" w:rsidRPr="004E22A2" w14:paraId="5087485E"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4E26CD49" w14:textId="7BA8CCA4" w:rsidR="008004DC" w:rsidRPr="004E22A2" w:rsidRDefault="008004DC" w:rsidP="00E954F7">
            <w:pPr>
              <w:jc w:val="center"/>
              <w:rPr>
                <w:rFonts w:ascii="Verdana" w:hAnsi="Verdana"/>
                <w:sz w:val="16"/>
                <w:szCs w:val="16"/>
              </w:rPr>
            </w:pPr>
            <w:r w:rsidRPr="004E22A2">
              <w:rPr>
                <w:rFonts w:ascii="Verdana" w:hAnsi="Verdana"/>
                <w:sz w:val="16"/>
                <w:szCs w:val="16"/>
              </w:rPr>
              <w:t>QC</w:t>
            </w:r>
            <w:r w:rsidR="00C560CA">
              <w:rPr>
                <w:rFonts w:ascii="Verdana" w:hAnsi="Verdana"/>
                <w:sz w:val="16"/>
                <w:szCs w:val="16"/>
              </w:rPr>
              <w:t>08</w:t>
            </w:r>
          </w:p>
        </w:tc>
        <w:tc>
          <w:tcPr>
            <w:tcW w:w="1211" w:type="pct"/>
            <w:tcBorders>
              <w:top w:val="outset" w:sz="6" w:space="0" w:color="CCCCCC"/>
              <w:left w:val="outset" w:sz="6" w:space="0" w:color="CCCCCC"/>
              <w:bottom w:val="outset" w:sz="6" w:space="0" w:color="CCCCCC"/>
              <w:right w:val="outset" w:sz="6" w:space="0" w:color="CCCCCC"/>
            </w:tcBorders>
            <w:vAlign w:val="center"/>
          </w:tcPr>
          <w:p w14:paraId="419E36D9" w14:textId="77777777" w:rsidR="008004DC" w:rsidRPr="004E22A2" w:rsidRDefault="008004DC" w:rsidP="00E954F7">
            <w:pPr>
              <w:jc w:val="center"/>
              <w:rPr>
                <w:rFonts w:ascii="Verdana" w:hAnsi="Verdana"/>
                <w:sz w:val="16"/>
                <w:szCs w:val="16"/>
              </w:rPr>
            </w:pPr>
            <w:r w:rsidRPr="004E22A2">
              <w:rPr>
                <w:rFonts w:ascii="Verdana" w:hAnsi="Verdana"/>
                <w:sz w:val="16"/>
                <w:szCs w:val="16"/>
              </w:rPr>
              <w:t>Parts Identification</w:t>
            </w:r>
          </w:p>
        </w:tc>
        <w:tc>
          <w:tcPr>
            <w:tcW w:w="2789" w:type="pct"/>
            <w:tcBorders>
              <w:top w:val="outset" w:sz="6" w:space="0" w:color="CCCCCC"/>
              <w:left w:val="outset" w:sz="6" w:space="0" w:color="CCCCCC"/>
              <w:bottom w:val="outset" w:sz="6" w:space="0" w:color="CCCCCC"/>
              <w:right w:val="outset" w:sz="6" w:space="0" w:color="CCCCCC"/>
            </w:tcBorders>
            <w:vAlign w:val="center"/>
          </w:tcPr>
          <w:p w14:paraId="6DAAE7B0" w14:textId="77777777" w:rsidR="008004DC" w:rsidRPr="004E22A2" w:rsidRDefault="008004DC" w:rsidP="00E954F7">
            <w:pPr>
              <w:rPr>
                <w:rFonts w:ascii="Verdana" w:hAnsi="Verdana"/>
                <w:sz w:val="16"/>
                <w:szCs w:val="16"/>
              </w:rPr>
            </w:pPr>
            <w:r w:rsidRPr="004E22A2">
              <w:rPr>
                <w:rFonts w:ascii="Verdana" w:hAnsi="Verdana" w:cs="Arial"/>
                <w:sz w:val="15"/>
                <w:szCs w:val="15"/>
              </w:rPr>
              <w:t>The Supplier is to identify parts in accordance with purchase order requirements.</w:t>
            </w:r>
          </w:p>
        </w:tc>
      </w:tr>
      <w:tr w:rsidR="008004DC" w:rsidRPr="004E22A2" w14:paraId="578A0F47" w14:textId="77777777" w:rsidTr="009464A1">
        <w:tc>
          <w:tcPr>
            <w:tcW w:w="1000" w:type="pct"/>
            <w:tcBorders>
              <w:top w:val="outset" w:sz="6" w:space="0" w:color="CCCCCC"/>
              <w:left w:val="outset" w:sz="6" w:space="0" w:color="CCCCCC"/>
              <w:bottom w:val="outset" w:sz="6" w:space="0" w:color="CCCCCC"/>
              <w:right w:val="outset" w:sz="6" w:space="0" w:color="CCCCCC"/>
            </w:tcBorders>
            <w:vAlign w:val="center"/>
          </w:tcPr>
          <w:p w14:paraId="6F49CC50" w14:textId="306D61B8" w:rsidR="008004DC" w:rsidRPr="004E22A2" w:rsidRDefault="008004DC" w:rsidP="00E954F7">
            <w:pPr>
              <w:jc w:val="center"/>
              <w:rPr>
                <w:rFonts w:ascii="Verdana" w:hAnsi="Verdana"/>
                <w:sz w:val="16"/>
                <w:szCs w:val="16"/>
              </w:rPr>
            </w:pPr>
            <w:r w:rsidRPr="004E22A2">
              <w:rPr>
                <w:rFonts w:ascii="Verdana" w:hAnsi="Verdana"/>
                <w:sz w:val="16"/>
                <w:szCs w:val="16"/>
              </w:rPr>
              <w:t>QC</w:t>
            </w:r>
            <w:r w:rsidR="00C560CA">
              <w:rPr>
                <w:rFonts w:ascii="Verdana" w:hAnsi="Verdana"/>
                <w:sz w:val="16"/>
                <w:szCs w:val="16"/>
              </w:rPr>
              <w:t>09</w:t>
            </w:r>
          </w:p>
        </w:tc>
        <w:tc>
          <w:tcPr>
            <w:tcW w:w="1211" w:type="pct"/>
            <w:tcBorders>
              <w:top w:val="outset" w:sz="6" w:space="0" w:color="CCCCCC"/>
              <w:left w:val="outset" w:sz="6" w:space="0" w:color="CCCCCC"/>
              <w:bottom w:val="outset" w:sz="6" w:space="0" w:color="CCCCCC"/>
              <w:right w:val="outset" w:sz="6" w:space="0" w:color="CCCCCC"/>
            </w:tcBorders>
            <w:vAlign w:val="center"/>
          </w:tcPr>
          <w:p w14:paraId="7D2FFF43" w14:textId="5180BBB4" w:rsidR="008004DC" w:rsidRPr="004E22A2" w:rsidRDefault="004E22A2" w:rsidP="00E954F7">
            <w:pPr>
              <w:jc w:val="center"/>
              <w:rPr>
                <w:rFonts w:ascii="Verdana" w:hAnsi="Verdana"/>
                <w:sz w:val="16"/>
                <w:szCs w:val="16"/>
              </w:rPr>
            </w:pPr>
            <w:r w:rsidRPr="004E22A2">
              <w:rPr>
                <w:rFonts w:ascii="Verdana" w:hAnsi="Verdana"/>
                <w:sz w:val="16"/>
                <w:szCs w:val="16"/>
              </w:rPr>
              <w:t>Practical Tools</w:t>
            </w:r>
            <w:r w:rsidR="008004DC" w:rsidRPr="004E22A2">
              <w:rPr>
                <w:rFonts w:ascii="Verdana" w:hAnsi="Verdana"/>
                <w:sz w:val="16"/>
                <w:szCs w:val="16"/>
              </w:rPr>
              <w:t xml:space="preserve"> Furnished Property</w:t>
            </w:r>
          </w:p>
        </w:tc>
        <w:tc>
          <w:tcPr>
            <w:tcW w:w="2789" w:type="pct"/>
            <w:tcBorders>
              <w:top w:val="outset" w:sz="6" w:space="0" w:color="CCCCCC"/>
              <w:left w:val="outset" w:sz="6" w:space="0" w:color="CCCCCC"/>
              <w:bottom w:val="outset" w:sz="6" w:space="0" w:color="CCCCCC"/>
              <w:right w:val="outset" w:sz="6" w:space="0" w:color="CCCCCC"/>
            </w:tcBorders>
            <w:vAlign w:val="center"/>
          </w:tcPr>
          <w:p w14:paraId="3560A441" w14:textId="1B9053F1" w:rsidR="008004DC" w:rsidRPr="004E22A2" w:rsidRDefault="008004DC" w:rsidP="00E954F7">
            <w:pPr>
              <w:rPr>
                <w:rFonts w:ascii="Verdana" w:hAnsi="Verdana"/>
                <w:sz w:val="16"/>
                <w:szCs w:val="16"/>
              </w:rPr>
            </w:pPr>
            <w:r w:rsidRPr="004E22A2">
              <w:rPr>
                <w:rFonts w:ascii="Verdana" w:hAnsi="Verdana" w:cs="Arial"/>
                <w:sz w:val="15"/>
                <w:szCs w:val="15"/>
              </w:rPr>
              <w:t xml:space="preserve">Supplier is to return all furnished property to </w:t>
            </w:r>
            <w:r w:rsidR="004E22A2" w:rsidRPr="004E22A2">
              <w:rPr>
                <w:rFonts w:ascii="Verdana" w:hAnsi="Verdana" w:cs="Arial"/>
                <w:sz w:val="15"/>
                <w:szCs w:val="15"/>
              </w:rPr>
              <w:t>Practical Components and Practical Tools</w:t>
            </w:r>
            <w:r w:rsidRPr="004E22A2">
              <w:rPr>
                <w:rFonts w:ascii="Verdana" w:hAnsi="Verdana" w:cs="Arial"/>
                <w:sz w:val="15"/>
                <w:szCs w:val="15"/>
              </w:rPr>
              <w:t xml:space="preserve"> at the completion of the purchase order. Furnished property may include but not be limited to the following: drawings, mylars, process specification, tooling, fixtures, and excess raw material.</w:t>
            </w:r>
          </w:p>
        </w:tc>
      </w:tr>
    </w:tbl>
    <w:p w14:paraId="4658566B" w14:textId="77777777" w:rsidR="008C48AB" w:rsidRPr="008004DC" w:rsidRDefault="008C48AB" w:rsidP="008004DC"/>
    <w:sectPr w:rsidR="008C48AB" w:rsidRPr="008004DC" w:rsidSect="00C1212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2D463" w14:textId="77777777" w:rsidR="00ED473D" w:rsidRDefault="00ED473D" w:rsidP="00396E2C">
      <w:r>
        <w:separator/>
      </w:r>
    </w:p>
  </w:endnote>
  <w:endnote w:type="continuationSeparator" w:id="0">
    <w:p w14:paraId="4EABDFF8" w14:textId="77777777" w:rsidR="00ED473D" w:rsidRDefault="00ED473D" w:rsidP="0039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675AF" w14:textId="77777777" w:rsidR="0096771F" w:rsidRDefault="009677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6D46E" w14:textId="77777777" w:rsidR="0096771F" w:rsidRDefault="009677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DC76E" w14:textId="77777777" w:rsidR="0096771F" w:rsidRDefault="00967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E2762" w14:textId="77777777" w:rsidR="00ED473D" w:rsidRDefault="00ED473D" w:rsidP="00396E2C">
      <w:r>
        <w:separator/>
      </w:r>
    </w:p>
  </w:footnote>
  <w:footnote w:type="continuationSeparator" w:id="0">
    <w:p w14:paraId="65D7C990" w14:textId="77777777" w:rsidR="00ED473D" w:rsidRDefault="00ED473D" w:rsidP="0039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F99E3" w14:textId="77777777" w:rsidR="0096771F" w:rsidRDefault="009677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Look w:val="04A0" w:firstRow="1" w:lastRow="0" w:firstColumn="1" w:lastColumn="0" w:noHBand="0" w:noVBand="1"/>
    </w:tblPr>
    <w:tblGrid>
      <w:gridCol w:w="2417"/>
      <w:gridCol w:w="1766"/>
      <w:gridCol w:w="1657"/>
      <w:gridCol w:w="1744"/>
      <w:gridCol w:w="1766"/>
    </w:tblGrid>
    <w:tr w:rsidR="00396E2C" w14:paraId="291E942B" w14:textId="77777777" w:rsidTr="00396E2C">
      <w:trPr>
        <w:jc w:val="center"/>
      </w:trPr>
      <w:tc>
        <w:tcPr>
          <w:tcW w:w="1870" w:type="dxa"/>
          <w:vMerge w:val="restart"/>
        </w:tcPr>
        <w:p w14:paraId="563D4BB1" w14:textId="32DF3C2B" w:rsidR="00396E2C" w:rsidRDefault="004E22A2" w:rsidP="00396E2C">
          <w:pPr>
            <w:pStyle w:val="Header"/>
          </w:pPr>
          <w:r>
            <w:rPr>
              <w:noProof/>
            </w:rPr>
            <w:drawing>
              <wp:inline distT="0" distB="0" distL="0" distR="0" wp14:anchorId="39141CEE" wp14:editId="53A6B219">
                <wp:extent cx="1397726" cy="92887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885" cy="934296"/>
                        </a:xfrm>
                        <a:prstGeom prst="rect">
                          <a:avLst/>
                        </a:prstGeom>
                        <a:noFill/>
                        <a:ln>
                          <a:noFill/>
                        </a:ln>
                      </pic:spPr>
                    </pic:pic>
                  </a:graphicData>
                </a:graphic>
              </wp:inline>
            </w:drawing>
          </w:r>
        </w:p>
      </w:tc>
      <w:tc>
        <w:tcPr>
          <w:tcW w:w="1870" w:type="dxa"/>
        </w:tcPr>
        <w:p w14:paraId="088D96E7" w14:textId="77777777" w:rsidR="00396E2C" w:rsidRDefault="00396E2C" w:rsidP="00396E2C">
          <w:pPr>
            <w:pStyle w:val="Header"/>
          </w:pPr>
          <w:r>
            <w:t>Document:</w:t>
          </w:r>
        </w:p>
      </w:tc>
      <w:tc>
        <w:tcPr>
          <w:tcW w:w="5610" w:type="dxa"/>
          <w:gridSpan w:val="3"/>
        </w:tcPr>
        <w:p w14:paraId="3AE2C7FA" w14:textId="1A4306C5" w:rsidR="00396E2C" w:rsidRDefault="0031283B" w:rsidP="00396E2C">
          <w:pPr>
            <w:pStyle w:val="Header"/>
          </w:pPr>
          <w:r>
            <w:t>P</w:t>
          </w:r>
          <w:r w:rsidR="004E22A2">
            <w:t>UR</w:t>
          </w:r>
          <w:r w:rsidR="00E5427A">
            <w:t>-</w:t>
          </w:r>
          <w:r w:rsidR="00F265B9">
            <w:t>A</w:t>
          </w:r>
          <w:r w:rsidR="00E5427A">
            <w:t xml:space="preserve"> </w:t>
          </w:r>
          <w:r w:rsidR="004E4619">
            <w:t>8</w:t>
          </w:r>
          <w:r w:rsidR="00396E2C">
            <w:t>.</w:t>
          </w:r>
          <w:r>
            <w:t>4</w:t>
          </w:r>
          <w:r w:rsidR="00E5427A">
            <w:t>-</w:t>
          </w:r>
          <w:r w:rsidR="00E3571E">
            <w:t>0</w:t>
          </w:r>
          <w:r w:rsidR="00326A60">
            <w:t>1</w:t>
          </w:r>
          <w:r w:rsidR="00396E2C">
            <w:t xml:space="preserve"> </w:t>
          </w:r>
          <w:r w:rsidR="001460A7">
            <w:t>Quality Clauses</w:t>
          </w:r>
        </w:p>
      </w:tc>
    </w:tr>
    <w:tr w:rsidR="00396E2C" w14:paraId="0DBE41C6" w14:textId="77777777" w:rsidTr="00396E2C">
      <w:trPr>
        <w:jc w:val="center"/>
      </w:trPr>
      <w:tc>
        <w:tcPr>
          <w:tcW w:w="1870" w:type="dxa"/>
          <w:vMerge/>
        </w:tcPr>
        <w:p w14:paraId="15270100" w14:textId="77777777" w:rsidR="00396E2C" w:rsidRDefault="00396E2C" w:rsidP="00396E2C">
          <w:pPr>
            <w:pStyle w:val="Header"/>
          </w:pPr>
        </w:p>
      </w:tc>
      <w:tc>
        <w:tcPr>
          <w:tcW w:w="1870" w:type="dxa"/>
        </w:tcPr>
        <w:p w14:paraId="145E2C80" w14:textId="77777777" w:rsidR="00396E2C" w:rsidRDefault="00396E2C" w:rsidP="00396E2C">
          <w:pPr>
            <w:pStyle w:val="Header"/>
          </w:pPr>
          <w:r>
            <w:t>Approved By:</w:t>
          </w:r>
        </w:p>
      </w:tc>
      <w:tc>
        <w:tcPr>
          <w:tcW w:w="5610" w:type="dxa"/>
          <w:gridSpan w:val="3"/>
        </w:tcPr>
        <w:p w14:paraId="7BDDF99F" w14:textId="69D7132D" w:rsidR="00396E2C" w:rsidRDefault="004F3695" w:rsidP="00396E2C">
          <w:pPr>
            <w:pStyle w:val="Header"/>
          </w:pPr>
          <w:r>
            <w:t>LP</w:t>
          </w:r>
        </w:p>
      </w:tc>
    </w:tr>
    <w:tr w:rsidR="00396E2C" w14:paraId="7BA20C71" w14:textId="77777777" w:rsidTr="00396E2C">
      <w:trPr>
        <w:jc w:val="center"/>
      </w:trPr>
      <w:tc>
        <w:tcPr>
          <w:tcW w:w="1870" w:type="dxa"/>
          <w:vMerge/>
        </w:tcPr>
        <w:p w14:paraId="56EE09E4" w14:textId="77777777" w:rsidR="00396E2C" w:rsidRDefault="00396E2C" w:rsidP="00396E2C">
          <w:pPr>
            <w:pStyle w:val="Header"/>
          </w:pPr>
        </w:p>
      </w:tc>
      <w:tc>
        <w:tcPr>
          <w:tcW w:w="1870" w:type="dxa"/>
        </w:tcPr>
        <w:p w14:paraId="04FE5C2E" w14:textId="77777777" w:rsidR="00396E2C" w:rsidRDefault="00396E2C" w:rsidP="00396E2C">
          <w:pPr>
            <w:pStyle w:val="Header"/>
          </w:pPr>
          <w:r>
            <w:t>Revision:</w:t>
          </w:r>
        </w:p>
      </w:tc>
      <w:tc>
        <w:tcPr>
          <w:tcW w:w="1870" w:type="dxa"/>
        </w:tcPr>
        <w:p w14:paraId="2D22F6DA" w14:textId="4D0AE337" w:rsidR="00396E2C" w:rsidRDefault="00C560CA" w:rsidP="00396E2C">
          <w:pPr>
            <w:pStyle w:val="Header"/>
          </w:pPr>
          <w:r>
            <w:t>B</w:t>
          </w:r>
        </w:p>
      </w:tc>
      <w:tc>
        <w:tcPr>
          <w:tcW w:w="1870" w:type="dxa"/>
        </w:tcPr>
        <w:p w14:paraId="3164CE21" w14:textId="77777777" w:rsidR="00396E2C" w:rsidRDefault="00396E2C" w:rsidP="00396E2C">
          <w:pPr>
            <w:pStyle w:val="Header"/>
          </w:pPr>
          <w:r>
            <w:t>Released Date:</w:t>
          </w:r>
        </w:p>
      </w:tc>
      <w:tc>
        <w:tcPr>
          <w:tcW w:w="1870" w:type="dxa"/>
        </w:tcPr>
        <w:p w14:paraId="0344A607" w14:textId="16E0A6E0" w:rsidR="00396E2C" w:rsidRDefault="0096771F" w:rsidP="00396E2C">
          <w:pPr>
            <w:pStyle w:val="Header"/>
          </w:pPr>
          <w:r>
            <w:t>7</w:t>
          </w:r>
          <w:r w:rsidR="004F35E6">
            <w:t>/1/2020</w:t>
          </w:r>
        </w:p>
      </w:tc>
    </w:tr>
    <w:tr w:rsidR="00396E2C" w14:paraId="08D1F9C7" w14:textId="77777777" w:rsidTr="00396E2C">
      <w:trPr>
        <w:jc w:val="center"/>
      </w:trPr>
      <w:tc>
        <w:tcPr>
          <w:tcW w:w="1870" w:type="dxa"/>
          <w:vMerge/>
        </w:tcPr>
        <w:p w14:paraId="12C44A36" w14:textId="77777777" w:rsidR="00396E2C" w:rsidRDefault="00396E2C" w:rsidP="00396E2C">
          <w:pPr>
            <w:pStyle w:val="Header"/>
          </w:pPr>
        </w:p>
      </w:tc>
      <w:tc>
        <w:tcPr>
          <w:tcW w:w="1870" w:type="dxa"/>
        </w:tcPr>
        <w:p w14:paraId="0F5FA71A" w14:textId="77777777" w:rsidR="00396E2C" w:rsidRDefault="00396E2C" w:rsidP="00396E2C">
          <w:pPr>
            <w:pStyle w:val="Header"/>
          </w:pPr>
          <w:r>
            <w:t>Page:</w:t>
          </w:r>
        </w:p>
      </w:tc>
      <w:tc>
        <w:tcPr>
          <w:tcW w:w="1870" w:type="dxa"/>
        </w:tcPr>
        <w:p w14:paraId="639A4DBC" w14:textId="77777777" w:rsidR="00396E2C" w:rsidRDefault="00396E2C" w:rsidP="00396E2C">
          <w:pPr>
            <w:pStyle w:val="Header"/>
          </w:pPr>
          <w:r>
            <w:t xml:space="preserve">Page </w:t>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23</w:t>
          </w:r>
          <w:r>
            <w:rPr>
              <w:b/>
              <w:bCs/>
            </w:rPr>
            <w:fldChar w:fldCharType="end"/>
          </w:r>
        </w:p>
      </w:tc>
      <w:tc>
        <w:tcPr>
          <w:tcW w:w="1870" w:type="dxa"/>
        </w:tcPr>
        <w:p w14:paraId="31A51577" w14:textId="77777777" w:rsidR="00396E2C" w:rsidRDefault="00396E2C" w:rsidP="00396E2C">
          <w:pPr>
            <w:pStyle w:val="Header"/>
          </w:pPr>
          <w:r>
            <w:t>Print Date:</w:t>
          </w:r>
        </w:p>
      </w:tc>
      <w:tc>
        <w:tcPr>
          <w:tcW w:w="1870" w:type="dxa"/>
        </w:tcPr>
        <w:p w14:paraId="25354CD9" w14:textId="6253156B" w:rsidR="00396E2C" w:rsidRDefault="00396E2C" w:rsidP="00396E2C">
          <w:pPr>
            <w:pStyle w:val="Header"/>
          </w:pPr>
          <w:r>
            <w:fldChar w:fldCharType="begin"/>
          </w:r>
          <w:r>
            <w:instrText xml:space="preserve"> DATE \@ "M/d/yyyy" </w:instrText>
          </w:r>
          <w:r>
            <w:fldChar w:fldCharType="separate"/>
          </w:r>
          <w:r w:rsidR="0096771F">
            <w:rPr>
              <w:noProof/>
            </w:rPr>
            <w:t>7/16/2020</w:t>
          </w:r>
          <w:r>
            <w:fldChar w:fldCharType="end"/>
          </w:r>
        </w:p>
      </w:tc>
    </w:tr>
  </w:tbl>
  <w:p w14:paraId="7A67EBB4" w14:textId="77777777" w:rsidR="00396E2C" w:rsidRDefault="00396E2C" w:rsidP="00396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7078D" w14:textId="77777777" w:rsidR="0096771F" w:rsidRDefault="00967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7377C"/>
    <w:multiLevelType w:val="hybridMultilevel"/>
    <w:tmpl w:val="70062DEA"/>
    <w:lvl w:ilvl="0" w:tplc="04090001">
      <w:start w:val="1"/>
      <w:numFmt w:val="bullet"/>
      <w:lvlText w:val=""/>
      <w:lvlJc w:val="left"/>
      <w:pPr>
        <w:ind w:left="720" w:hanging="360"/>
      </w:pPr>
      <w:rPr>
        <w:rFonts w:ascii="Symbol" w:hAnsi="Symbol" w:hint="default"/>
      </w:rPr>
    </w:lvl>
    <w:lvl w:ilvl="1" w:tplc="E3EC7064">
      <w:numFmt w:val="bullet"/>
      <w:lvlText w:val=""/>
      <w:lvlJc w:val="left"/>
      <w:pPr>
        <w:ind w:left="1440" w:hanging="360"/>
      </w:pPr>
      <w:rPr>
        <w:rFonts w:ascii="Wingdings" w:eastAsia="Times New Roman" w:hAnsi="Wingdings" w:cs="Arial" w:hint="default"/>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54881"/>
    <w:multiLevelType w:val="hybridMultilevel"/>
    <w:tmpl w:val="95D8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E2C"/>
    <w:rsid w:val="00017CF3"/>
    <w:rsid w:val="000923FF"/>
    <w:rsid w:val="001460A7"/>
    <w:rsid w:val="001E5341"/>
    <w:rsid w:val="0022042E"/>
    <w:rsid w:val="00274439"/>
    <w:rsid w:val="002C300F"/>
    <w:rsid w:val="002C44C2"/>
    <w:rsid w:val="002E1CD0"/>
    <w:rsid w:val="002F486C"/>
    <w:rsid w:val="0031283B"/>
    <w:rsid w:val="0031612D"/>
    <w:rsid w:val="00326A60"/>
    <w:rsid w:val="00347E28"/>
    <w:rsid w:val="00396E2C"/>
    <w:rsid w:val="003B5C06"/>
    <w:rsid w:val="004169D1"/>
    <w:rsid w:val="004E22A2"/>
    <w:rsid w:val="004E41CB"/>
    <w:rsid w:val="004E4619"/>
    <w:rsid w:val="004F35E6"/>
    <w:rsid w:val="004F3695"/>
    <w:rsid w:val="005460E0"/>
    <w:rsid w:val="00561BB8"/>
    <w:rsid w:val="00564AA6"/>
    <w:rsid w:val="00582458"/>
    <w:rsid w:val="005849AE"/>
    <w:rsid w:val="00587C5B"/>
    <w:rsid w:val="005B4D8C"/>
    <w:rsid w:val="00650E34"/>
    <w:rsid w:val="007717C6"/>
    <w:rsid w:val="008004DC"/>
    <w:rsid w:val="00832FCA"/>
    <w:rsid w:val="008518BB"/>
    <w:rsid w:val="00866781"/>
    <w:rsid w:val="0089409C"/>
    <w:rsid w:val="008A6CD1"/>
    <w:rsid w:val="008C48AB"/>
    <w:rsid w:val="009173BD"/>
    <w:rsid w:val="00933114"/>
    <w:rsid w:val="00941BDD"/>
    <w:rsid w:val="009464A1"/>
    <w:rsid w:val="0095074D"/>
    <w:rsid w:val="0096771F"/>
    <w:rsid w:val="0097590C"/>
    <w:rsid w:val="00985600"/>
    <w:rsid w:val="009A6F24"/>
    <w:rsid w:val="009D0D22"/>
    <w:rsid w:val="00A147D9"/>
    <w:rsid w:val="00A27DAF"/>
    <w:rsid w:val="00A36713"/>
    <w:rsid w:val="00A6170B"/>
    <w:rsid w:val="00BB55B0"/>
    <w:rsid w:val="00C12129"/>
    <w:rsid w:val="00C14D41"/>
    <w:rsid w:val="00C419AF"/>
    <w:rsid w:val="00C560CA"/>
    <w:rsid w:val="00CF5D8C"/>
    <w:rsid w:val="00D21AD4"/>
    <w:rsid w:val="00D33A49"/>
    <w:rsid w:val="00D43C54"/>
    <w:rsid w:val="00D455B9"/>
    <w:rsid w:val="00D738BB"/>
    <w:rsid w:val="00DC7FD2"/>
    <w:rsid w:val="00E15874"/>
    <w:rsid w:val="00E3571E"/>
    <w:rsid w:val="00E43090"/>
    <w:rsid w:val="00E5427A"/>
    <w:rsid w:val="00E61CBA"/>
    <w:rsid w:val="00E72E0D"/>
    <w:rsid w:val="00ED473D"/>
    <w:rsid w:val="00F265B9"/>
    <w:rsid w:val="00F367BB"/>
    <w:rsid w:val="00F94729"/>
    <w:rsid w:val="00FD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DE02"/>
  <w15:chartTrackingRefBased/>
  <w15:docId w15:val="{9F0FABE1-E61A-41E7-BDDC-99FF2A93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5B0"/>
    <w:pPr>
      <w:widowControl w:val="0"/>
      <w:spacing w:after="0" w:line="240" w:lineRule="auto"/>
    </w:pPr>
    <w:rPr>
      <w:rFonts w:ascii="Courier New" w:eastAsia="Times New Roman" w:hAnsi="Courier New" w:cs="Times New Roman"/>
      <w:color w:val="00000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E2C"/>
    <w:pPr>
      <w:tabs>
        <w:tab w:val="center" w:pos="4680"/>
        <w:tab w:val="right" w:pos="9360"/>
      </w:tabs>
    </w:pPr>
  </w:style>
  <w:style w:type="character" w:customStyle="1" w:styleId="HeaderChar">
    <w:name w:val="Header Char"/>
    <w:basedOn w:val="DefaultParagraphFont"/>
    <w:link w:val="Header"/>
    <w:uiPriority w:val="99"/>
    <w:rsid w:val="00396E2C"/>
  </w:style>
  <w:style w:type="paragraph" w:styleId="Footer">
    <w:name w:val="footer"/>
    <w:basedOn w:val="Normal"/>
    <w:link w:val="FooterChar"/>
    <w:uiPriority w:val="99"/>
    <w:unhideWhenUsed/>
    <w:rsid w:val="00396E2C"/>
    <w:pPr>
      <w:tabs>
        <w:tab w:val="center" w:pos="4680"/>
        <w:tab w:val="right" w:pos="9360"/>
      </w:tabs>
    </w:pPr>
  </w:style>
  <w:style w:type="character" w:customStyle="1" w:styleId="FooterChar">
    <w:name w:val="Footer Char"/>
    <w:basedOn w:val="DefaultParagraphFont"/>
    <w:link w:val="Footer"/>
    <w:uiPriority w:val="99"/>
    <w:rsid w:val="00396E2C"/>
  </w:style>
  <w:style w:type="table" w:styleId="TableGrid">
    <w:name w:val="Table Grid"/>
    <w:basedOn w:val="TableNormal"/>
    <w:uiPriority w:val="39"/>
    <w:rsid w:val="00396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Lepore</dc:creator>
  <cp:keywords/>
  <dc:description/>
  <cp:lastModifiedBy>Lori Perez</cp:lastModifiedBy>
  <cp:revision>2</cp:revision>
  <dcterms:created xsi:type="dcterms:W3CDTF">2020-07-16T20:54:00Z</dcterms:created>
  <dcterms:modified xsi:type="dcterms:W3CDTF">2020-07-16T20:54:00Z</dcterms:modified>
</cp:coreProperties>
</file>